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DF" w:rsidRPr="007C57DF" w:rsidRDefault="007C57DF" w:rsidP="007C57DF">
      <w:pPr>
        <w:widowControl/>
        <w:jc w:val="center"/>
        <w:outlineLvl w:val="1"/>
        <w:rPr>
          <w:rFonts w:ascii="Arial" w:eastAsia="宋体" w:hAnsi="Arial" w:cs="Arial"/>
          <w:kern w:val="0"/>
          <w:sz w:val="36"/>
          <w:szCs w:val="36"/>
          <w:lang w:eastAsia="zh-Hans"/>
        </w:rPr>
      </w:pPr>
      <w:bookmarkStart w:id="0" w:name="_GoBack"/>
      <w:r w:rsidRPr="007C57DF">
        <w:rPr>
          <w:rFonts w:ascii="思源黑体" w:eastAsia="思源黑体" w:hAnsi="Arial" w:cs="Arial" w:hint="eastAsia"/>
          <w:b/>
          <w:bCs/>
          <w:kern w:val="0"/>
          <w:szCs w:val="21"/>
          <w:lang w:eastAsia="zh-Hans"/>
        </w:rPr>
        <w:t>天津农商银行信用卡积分规则</w:t>
      </w:r>
    </w:p>
    <w:bookmarkEnd w:id="0"/>
    <w:p w:rsidR="007C57DF" w:rsidRPr="007C57DF" w:rsidRDefault="007C57DF" w:rsidP="007C57DF">
      <w:pPr>
        <w:widowControl/>
        <w:spacing w:beforeAutospacing="1" w:afterAutospacing="1"/>
        <w:outlineLvl w:val="1"/>
        <w:rPr>
          <w:rFonts w:ascii="Arial" w:eastAsia="宋体" w:hAnsi="Arial" w:cs="Arial"/>
          <w:kern w:val="0"/>
          <w:sz w:val="36"/>
          <w:szCs w:val="36"/>
          <w:lang w:eastAsia="zh-Hans"/>
        </w:rPr>
      </w:pPr>
      <w:r w:rsidRPr="007C57DF">
        <w:rPr>
          <w:rFonts w:ascii="思源黑体" w:eastAsia="思源黑体" w:hAnsi="Arial" w:cs="Arial" w:hint="eastAsia"/>
          <w:kern w:val="0"/>
          <w:szCs w:val="21"/>
          <w:lang w:eastAsia="zh-Hans"/>
        </w:rPr>
        <w:t>第一条 吉祥信用卡持卡人持有效的吉祥信用卡消费可获得积分。消费每满人民币 1 元积 1 分，每消费 1 美元积 8 分，每笔消费金额不足 1 元的部分均按四舍五入计入积分。特殊卡种另行规定。</w:t>
      </w:r>
    </w:p>
    <w:p w:rsidR="007C57DF" w:rsidRPr="007C57DF" w:rsidRDefault="007C57DF" w:rsidP="007C57DF">
      <w:pPr>
        <w:widowControl/>
        <w:spacing w:beforeAutospacing="1" w:afterAutospacing="1"/>
        <w:outlineLvl w:val="1"/>
        <w:rPr>
          <w:rFonts w:ascii="思源黑体" w:eastAsia="思源黑体" w:hAnsi="Arial" w:cs="Arial"/>
          <w:kern w:val="0"/>
          <w:szCs w:val="21"/>
          <w:lang w:eastAsia="zh-Hans"/>
        </w:rPr>
      </w:pPr>
      <w:r w:rsidRPr="007C57DF">
        <w:rPr>
          <w:rFonts w:ascii="思源黑体" w:eastAsia="思源黑体" w:hAnsi="Arial" w:cs="Arial" w:hint="eastAsia"/>
          <w:kern w:val="0"/>
          <w:szCs w:val="21"/>
          <w:lang w:eastAsia="zh-Hans"/>
        </w:rPr>
        <w:t>第二条 消费所产生的积分均于银行记账日的次日起生效。我行保留调整积分赚取比例的权利，并在法律许可的范围内拥有最终解释权。</w:t>
      </w:r>
    </w:p>
    <w:p w:rsidR="007C57DF" w:rsidRPr="007C57DF" w:rsidRDefault="007C57DF" w:rsidP="007C57DF">
      <w:pPr>
        <w:widowControl/>
        <w:spacing w:beforeAutospacing="1" w:afterAutospacing="1"/>
        <w:outlineLvl w:val="1"/>
        <w:rPr>
          <w:rFonts w:ascii="思源黑体" w:eastAsia="思源黑体" w:hAnsi="Arial" w:cs="Arial" w:hint="eastAsia"/>
          <w:kern w:val="0"/>
          <w:szCs w:val="21"/>
          <w:lang w:eastAsia="zh-Hans"/>
        </w:rPr>
      </w:pPr>
      <w:r w:rsidRPr="007C57DF">
        <w:rPr>
          <w:rFonts w:ascii="思源黑体" w:eastAsia="思源黑体" w:hAnsi="Arial" w:cs="Arial" w:hint="eastAsia"/>
          <w:kern w:val="0"/>
          <w:szCs w:val="21"/>
          <w:lang w:eastAsia="zh-Hans"/>
        </w:rPr>
        <w:t>第三条 持卡人不同账户下的信用卡产品积分分别计算。</w:t>
      </w:r>
    </w:p>
    <w:p w:rsidR="007C57DF" w:rsidRPr="007C57DF" w:rsidRDefault="007C57DF" w:rsidP="007C57DF">
      <w:pPr>
        <w:widowControl/>
        <w:spacing w:beforeAutospacing="1" w:afterAutospacing="1"/>
        <w:outlineLvl w:val="1"/>
        <w:rPr>
          <w:rFonts w:ascii="思源黑体" w:eastAsia="思源黑体" w:hAnsi="Arial" w:cs="Arial" w:hint="eastAsia"/>
          <w:kern w:val="0"/>
          <w:szCs w:val="21"/>
          <w:lang w:eastAsia="zh-Hans"/>
        </w:rPr>
      </w:pPr>
      <w:r w:rsidRPr="007C57DF">
        <w:rPr>
          <w:rFonts w:ascii="思源黑体" w:eastAsia="思源黑体" w:hAnsi="Arial" w:cs="Arial" w:hint="eastAsia"/>
          <w:kern w:val="0"/>
          <w:szCs w:val="21"/>
          <w:lang w:eastAsia="zh-Hans"/>
        </w:rPr>
        <w:t>第四条 吉祥信用卡的积分累积于主卡账户内，附属卡消费同样计算积分，附属卡的积分计入主卡账户内；持卡人持有两张或两张以上同一账户下的吉祥信用卡时，各卡刷卡消费累计的积分亦可合并计算。</w:t>
      </w:r>
    </w:p>
    <w:p w:rsidR="007C57DF" w:rsidRPr="007C57DF" w:rsidRDefault="007C57DF" w:rsidP="007C57DF">
      <w:pPr>
        <w:widowControl/>
        <w:spacing w:beforeAutospacing="1" w:afterAutospacing="1"/>
        <w:outlineLvl w:val="1"/>
        <w:rPr>
          <w:rFonts w:ascii="思源黑体" w:eastAsia="思源黑体" w:hAnsi="Arial" w:cs="Arial" w:hint="eastAsia"/>
          <w:kern w:val="0"/>
          <w:szCs w:val="21"/>
          <w:lang w:eastAsia="zh-Hans"/>
        </w:rPr>
      </w:pPr>
      <w:r w:rsidRPr="007C57DF">
        <w:rPr>
          <w:rFonts w:ascii="思源黑体" w:eastAsia="思源黑体" w:hAnsi="Arial" w:cs="Arial" w:hint="eastAsia"/>
          <w:kern w:val="0"/>
          <w:szCs w:val="21"/>
          <w:lang w:eastAsia="zh-Hans"/>
        </w:rPr>
        <w:t>第五条 持卡人因某种原因将签账消费的商品或服务退还，或因签账消费争议或其它原因而退还交易款项的（如退货交易），持卡人原先已取得的积分将由我行根据其退还的交易款项金额，按积分比例予以扣除。</w:t>
      </w:r>
    </w:p>
    <w:p w:rsidR="007C57DF" w:rsidRPr="007C57DF" w:rsidRDefault="007C57DF" w:rsidP="007C57DF">
      <w:pPr>
        <w:widowControl/>
        <w:spacing w:beforeAutospacing="1" w:afterAutospacing="1"/>
        <w:outlineLvl w:val="1"/>
        <w:rPr>
          <w:rFonts w:ascii="思源黑体" w:eastAsia="思源黑体" w:hAnsi="Arial" w:cs="Arial" w:hint="eastAsia"/>
          <w:kern w:val="0"/>
          <w:szCs w:val="21"/>
          <w:lang w:eastAsia="zh-Hans"/>
        </w:rPr>
      </w:pPr>
      <w:r w:rsidRPr="007C57DF">
        <w:rPr>
          <w:rFonts w:ascii="思源黑体" w:eastAsia="思源黑体" w:hAnsi="Arial" w:cs="Arial" w:hint="eastAsia"/>
          <w:kern w:val="0"/>
          <w:szCs w:val="21"/>
          <w:lang w:eastAsia="zh-Hans"/>
        </w:rPr>
        <w:t>第六条 持卡人生日当天的消费按不同规定可获得多倍积分：</w:t>
      </w:r>
    </w:p>
    <w:p w:rsidR="007C57DF" w:rsidRPr="007C57DF" w:rsidRDefault="007C57DF" w:rsidP="007C57DF">
      <w:pPr>
        <w:widowControl/>
        <w:spacing w:beforeAutospacing="1" w:afterAutospacing="1"/>
        <w:outlineLvl w:val="1"/>
        <w:rPr>
          <w:rFonts w:ascii="思源黑体" w:eastAsia="思源黑体" w:hAnsi="Arial" w:cs="Arial" w:hint="eastAsia"/>
          <w:kern w:val="0"/>
          <w:szCs w:val="21"/>
          <w:lang w:eastAsia="zh-Hans"/>
        </w:rPr>
      </w:pPr>
      <w:r w:rsidRPr="007C57DF">
        <w:rPr>
          <w:rFonts w:ascii="思源黑体" w:eastAsia="思源黑体" w:hAnsi="Arial" w:cs="Arial" w:hint="eastAsia"/>
          <w:kern w:val="0"/>
          <w:szCs w:val="21"/>
          <w:lang w:eastAsia="zh-Hans"/>
        </w:rPr>
        <w:t>（一）吉祥信用卡普卡持卡人在其生日当天进行的交易，按一般积分累积规则的二倍获得积分。普卡附属卡持卡人在其生日当天同样享受二倍积分，获得的积分计入主卡账户。</w:t>
      </w:r>
    </w:p>
    <w:p w:rsidR="007C57DF" w:rsidRPr="007C57DF" w:rsidRDefault="007C57DF" w:rsidP="007C57DF">
      <w:pPr>
        <w:widowControl/>
        <w:spacing w:beforeAutospacing="1" w:afterAutospacing="1"/>
        <w:outlineLvl w:val="1"/>
        <w:rPr>
          <w:rFonts w:ascii="思源黑体" w:eastAsia="思源黑体" w:hAnsi="Arial" w:cs="Arial" w:hint="eastAsia"/>
          <w:kern w:val="0"/>
          <w:szCs w:val="21"/>
          <w:lang w:eastAsia="zh-Hans"/>
        </w:rPr>
      </w:pPr>
      <w:r w:rsidRPr="007C57DF">
        <w:rPr>
          <w:rFonts w:ascii="思源黑体" w:eastAsia="思源黑体" w:hAnsi="Arial" w:cs="Arial" w:hint="eastAsia"/>
          <w:kern w:val="0"/>
          <w:szCs w:val="21"/>
          <w:lang w:eastAsia="zh-Hans"/>
        </w:rPr>
        <w:t>（二）吉祥信用卡金卡持卡人在其生日当天进行的交易，按一般积分累积规则的三倍获得积分。吉祥信用卡金卡附属卡持卡人在其生日当天同样享受三倍积分，获得的积分计入主卡账户。</w:t>
      </w:r>
    </w:p>
    <w:p w:rsidR="007C57DF" w:rsidRPr="007C57DF" w:rsidRDefault="007C57DF" w:rsidP="007C57DF">
      <w:pPr>
        <w:widowControl/>
        <w:spacing w:beforeAutospacing="1" w:afterAutospacing="1"/>
        <w:outlineLvl w:val="1"/>
        <w:rPr>
          <w:rFonts w:ascii="思源黑体" w:eastAsia="思源黑体" w:hAnsi="Arial" w:cs="Arial" w:hint="eastAsia"/>
          <w:kern w:val="0"/>
          <w:szCs w:val="21"/>
          <w:lang w:eastAsia="zh-Hans"/>
        </w:rPr>
      </w:pPr>
      <w:r w:rsidRPr="007C57DF">
        <w:rPr>
          <w:rFonts w:ascii="思源黑体" w:eastAsia="思源黑体" w:hAnsi="Arial" w:cs="Arial" w:hint="eastAsia"/>
          <w:kern w:val="0"/>
          <w:szCs w:val="21"/>
          <w:lang w:eastAsia="zh-Hans"/>
        </w:rPr>
        <w:t>第七条 积分永久有效，积分保留于主卡账户下直至销户。卡片到期持卡人续卡后，积分自动延续；信用卡账户关闭或注销后，剩余积分将被清除，且不可再恢复。</w:t>
      </w:r>
    </w:p>
    <w:p w:rsidR="007C57DF" w:rsidRPr="007C57DF" w:rsidRDefault="007C57DF" w:rsidP="007C57DF">
      <w:pPr>
        <w:widowControl/>
        <w:spacing w:beforeAutospacing="1" w:afterAutospacing="1"/>
        <w:outlineLvl w:val="1"/>
        <w:rPr>
          <w:rFonts w:ascii="思源黑体" w:eastAsia="思源黑体" w:hAnsi="Arial" w:cs="Arial" w:hint="eastAsia"/>
          <w:kern w:val="0"/>
          <w:szCs w:val="21"/>
          <w:lang w:eastAsia="zh-Hans"/>
        </w:rPr>
      </w:pPr>
      <w:r w:rsidRPr="007C57DF">
        <w:rPr>
          <w:rFonts w:ascii="思源黑体" w:eastAsia="思源黑体" w:hAnsi="Arial" w:cs="Arial" w:hint="eastAsia"/>
          <w:kern w:val="0"/>
          <w:szCs w:val="21"/>
          <w:lang w:eastAsia="zh-Hans"/>
        </w:rPr>
        <w:t>第八条 以下费用和交易不计积分：</w:t>
      </w:r>
    </w:p>
    <w:p w:rsidR="007C57DF" w:rsidRPr="007C57DF" w:rsidRDefault="007C57DF" w:rsidP="007C57DF">
      <w:pPr>
        <w:widowControl/>
        <w:spacing w:beforeAutospacing="1" w:afterAutospacing="1"/>
        <w:outlineLvl w:val="1"/>
        <w:rPr>
          <w:rFonts w:ascii="思源黑体" w:eastAsia="思源黑体" w:hAnsi="Arial" w:cs="Arial" w:hint="eastAsia"/>
          <w:kern w:val="0"/>
          <w:szCs w:val="21"/>
          <w:lang w:eastAsia="zh-Hans"/>
        </w:rPr>
      </w:pPr>
      <w:r w:rsidRPr="007C57DF">
        <w:rPr>
          <w:rFonts w:ascii="思源黑体" w:eastAsia="思源黑体" w:hAnsi="Arial" w:cs="Arial" w:hint="eastAsia"/>
          <w:kern w:val="0"/>
          <w:szCs w:val="21"/>
          <w:lang w:eastAsia="zh-Hans"/>
        </w:rPr>
        <w:t>（一）信用卡取现、人民币网上支付交易（我行信用卡商城除外）、代扣代缴交易。</w:t>
      </w:r>
    </w:p>
    <w:p w:rsidR="007C57DF" w:rsidRPr="007C57DF" w:rsidRDefault="007C57DF" w:rsidP="007C57DF">
      <w:pPr>
        <w:widowControl/>
        <w:spacing w:beforeAutospacing="1" w:afterAutospacing="1"/>
        <w:outlineLvl w:val="1"/>
        <w:rPr>
          <w:rFonts w:ascii="思源黑体" w:eastAsia="思源黑体" w:hAnsi="Arial" w:cs="Arial" w:hint="eastAsia"/>
          <w:kern w:val="0"/>
          <w:szCs w:val="21"/>
          <w:lang w:eastAsia="zh-Hans"/>
        </w:rPr>
      </w:pPr>
      <w:r w:rsidRPr="007C57DF">
        <w:rPr>
          <w:rFonts w:ascii="思源黑体" w:eastAsia="思源黑体" w:hAnsi="Arial" w:cs="Arial" w:hint="eastAsia"/>
          <w:kern w:val="0"/>
          <w:szCs w:val="21"/>
          <w:lang w:eastAsia="zh-Hans"/>
        </w:rPr>
        <w:t>（二）信用卡年费、循环信用利息、预借现金的手续费及利息、逾期缴款所衍生的费用（如滞纳金、利息等）及《天津农商银行信用卡（个人卡）领用合约》约定的其它各项息费。</w:t>
      </w:r>
    </w:p>
    <w:p w:rsidR="007C57DF" w:rsidRPr="007C57DF" w:rsidRDefault="007C57DF" w:rsidP="007C57DF">
      <w:pPr>
        <w:widowControl/>
        <w:spacing w:beforeAutospacing="1" w:afterAutospacing="1"/>
        <w:outlineLvl w:val="1"/>
        <w:rPr>
          <w:rFonts w:ascii="思源黑体" w:eastAsia="思源黑体" w:hAnsi="Arial" w:cs="Arial" w:hint="eastAsia"/>
          <w:kern w:val="0"/>
          <w:szCs w:val="21"/>
          <w:lang w:eastAsia="zh-Hans"/>
        </w:rPr>
      </w:pPr>
      <w:r w:rsidRPr="007C57DF">
        <w:rPr>
          <w:rFonts w:ascii="思源黑体" w:eastAsia="思源黑体" w:hAnsi="Arial" w:cs="Arial" w:hint="eastAsia"/>
          <w:kern w:val="0"/>
          <w:szCs w:val="21"/>
          <w:lang w:eastAsia="zh-Hans"/>
        </w:rPr>
        <w:t>（三）低扣率、零扣率以及特殊类型的商户消费不计算积分，其中包括但不仅限于：</w:t>
      </w:r>
    </w:p>
    <w:p w:rsidR="007C57DF" w:rsidRPr="007C57DF" w:rsidRDefault="007C57DF" w:rsidP="007C57DF">
      <w:pPr>
        <w:widowControl/>
        <w:spacing w:beforeAutospacing="1" w:afterAutospacing="1"/>
        <w:outlineLvl w:val="1"/>
        <w:rPr>
          <w:rFonts w:ascii="思源黑体" w:eastAsia="思源黑体" w:hAnsi="Arial" w:cs="Arial" w:hint="eastAsia"/>
          <w:kern w:val="0"/>
          <w:szCs w:val="21"/>
          <w:lang w:eastAsia="zh-Hans"/>
        </w:rPr>
      </w:pPr>
      <w:r w:rsidRPr="007C57DF">
        <w:rPr>
          <w:rFonts w:ascii="思源黑体" w:eastAsia="思源黑体" w:hAnsi="Arial" w:cs="Arial" w:hint="eastAsia"/>
          <w:kern w:val="0"/>
          <w:szCs w:val="21"/>
          <w:lang w:eastAsia="zh-Hans"/>
        </w:rPr>
        <w:t>1、房地产、汽车销售、汽车零件销售等批发类商户；</w:t>
      </w:r>
    </w:p>
    <w:p w:rsidR="007C57DF" w:rsidRPr="007C57DF" w:rsidRDefault="007C57DF" w:rsidP="007C57DF">
      <w:pPr>
        <w:widowControl/>
        <w:spacing w:beforeAutospacing="1" w:afterAutospacing="1"/>
        <w:outlineLvl w:val="1"/>
        <w:rPr>
          <w:rFonts w:ascii="思源黑体" w:eastAsia="思源黑体" w:hAnsi="Arial" w:cs="Arial" w:hint="eastAsia"/>
          <w:kern w:val="0"/>
          <w:szCs w:val="21"/>
          <w:lang w:eastAsia="zh-Hans"/>
        </w:rPr>
      </w:pPr>
      <w:r w:rsidRPr="007C57DF">
        <w:rPr>
          <w:rFonts w:ascii="思源黑体" w:eastAsia="思源黑体" w:hAnsi="Arial" w:cs="Arial" w:hint="eastAsia"/>
          <w:kern w:val="0"/>
          <w:szCs w:val="21"/>
          <w:lang w:eastAsia="zh-Hans"/>
        </w:rPr>
        <w:t>2、法律服务、医疗机构、学校类，农业服务、承包服务、装修装潢等商户；</w:t>
      </w:r>
    </w:p>
    <w:p w:rsidR="007C57DF" w:rsidRPr="007C57DF" w:rsidRDefault="007C57DF" w:rsidP="007C57DF">
      <w:pPr>
        <w:widowControl/>
        <w:spacing w:beforeAutospacing="1" w:afterAutospacing="1"/>
        <w:outlineLvl w:val="1"/>
        <w:rPr>
          <w:rFonts w:ascii="思源黑体" w:eastAsia="思源黑体" w:hAnsi="Arial" w:cs="Arial" w:hint="eastAsia"/>
          <w:kern w:val="0"/>
          <w:szCs w:val="21"/>
          <w:lang w:eastAsia="zh-Hans"/>
        </w:rPr>
      </w:pPr>
      <w:r w:rsidRPr="007C57DF">
        <w:rPr>
          <w:rFonts w:ascii="思源黑体" w:eastAsia="思源黑体" w:hAnsi="Arial" w:cs="Arial" w:hint="eastAsia"/>
          <w:kern w:val="0"/>
          <w:szCs w:val="21"/>
          <w:lang w:eastAsia="zh-Hans"/>
        </w:rPr>
        <w:t>3、公共事业、政府服务、纳税、缴款及代扣代缴类商户；</w:t>
      </w:r>
    </w:p>
    <w:p w:rsidR="007C57DF" w:rsidRPr="007C57DF" w:rsidRDefault="007C57DF" w:rsidP="007C57DF">
      <w:pPr>
        <w:widowControl/>
        <w:spacing w:beforeAutospacing="1" w:afterAutospacing="1"/>
        <w:outlineLvl w:val="1"/>
        <w:rPr>
          <w:rFonts w:ascii="思源黑体" w:eastAsia="思源黑体" w:hAnsi="Arial" w:cs="Arial" w:hint="eastAsia"/>
          <w:kern w:val="0"/>
          <w:szCs w:val="21"/>
          <w:lang w:eastAsia="zh-Hans"/>
        </w:rPr>
      </w:pPr>
      <w:r w:rsidRPr="007C57DF">
        <w:rPr>
          <w:rFonts w:ascii="思源黑体" w:eastAsia="思源黑体" w:hAnsi="Arial" w:cs="Arial" w:hint="eastAsia"/>
          <w:kern w:val="0"/>
          <w:szCs w:val="21"/>
          <w:lang w:eastAsia="zh-Hans"/>
        </w:rPr>
        <w:lastRenderedPageBreak/>
        <w:t>4、非现金金融产品及服务、直销，保险，证券，会计、审计等商户；</w:t>
      </w:r>
    </w:p>
    <w:p w:rsidR="007C57DF" w:rsidRPr="007C57DF" w:rsidRDefault="007C57DF" w:rsidP="007C57DF">
      <w:pPr>
        <w:widowControl/>
        <w:spacing w:beforeAutospacing="1" w:afterAutospacing="1"/>
        <w:outlineLvl w:val="1"/>
        <w:rPr>
          <w:rFonts w:ascii="思源黑体" w:eastAsia="思源黑体" w:hAnsi="Arial" w:cs="Arial" w:hint="eastAsia"/>
          <w:kern w:val="0"/>
          <w:szCs w:val="21"/>
          <w:lang w:eastAsia="zh-Hans"/>
        </w:rPr>
      </w:pPr>
      <w:r w:rsidRPr="007C57DF">
        <w:rPr>
          <w:rFonts w:ascii="思源黑体" w:eastAsia="思源黑体" w:hAnsi="Arial" w:cs="Arial" w:hint="eastAsia"/>
          <w:kern w:val="0"/>
          <w:szCs w:val="21"/>
          <w:lang w:eastAsia="zh-Hans"/>
        </w:rPr>
        <w:t>5、慈善、彩票、非盈利性商户及按银联标准不计消费积分的其他商户。</w:t>
      </w:r>
    </w:p>
    <w:p w:rsidR="007C57DF" w:rsidRPr="007C57DF" w:rsidRDefault="007C57DF" w:rsidP="007C57DF">
      <w:pPr>
        <w:widowControl/>
        <w:spacing w:beforeAutospacing="1" w:afterAutospacing="1"/>
        <w:outlineLvl w:val="1"/>
        <w:rPr>
          <w:rFonts w:ascii="思源黑体" w:eastAsia="思源黑体" w:hAnsi="Arial" w:cs="Arial" w:hint="eastAsia"/>
          <w:kern w:val="0"/>
          <w:szCs w:val="21"/>
          <w:lang w:eastAsia="zh-Hans"/>
        </w:rPr>
      </w:pPr>
      <w:r w:rsidRPr="007C57DF">
        <w:rPr>
          <w:rFonts w:ascii="思源黑体" w:eastAsia="思源黑体" w:hAnsi="Arial" w:cs="Arial" w:hint="eastAsia"/>
          <w:kern w:val="0"/>
          <w:szCs w:val="21"/>
          <w:lang w:eastAsia="zh-Hans"/>
        </w:rPr>
        <w:t>（四）天津农商银行规定的其它项目。</w:t>
      </w:r>
    </w:p>
    <w:p w:rsidR="007C57DF" w:rsidRPr="007C57DF" w:rsidRDefault="007C57DF" w:rsidP="007C57DF">
      <w:pPr>
        <w:widowControl/>
        <w:spacing w:beforeAutospacing="1" w:afterAutospacing="1"/>
        <w:outlineLvl w:val="1"/>
        <w:rPr>
          <w:rFonts w:ascii="思源黑体" w:eastAsia="思源黑体" w:hAnsi="Arial" w:cs="Arial" w:hint="eastAsia"/>
          <w:kern w:val="0"/>
          <w:szCs w:val="21"/>
          <w:lang w:eastAsia="zh-Hans"/>
        </w:rPr>
      </w:pPr>
      <w:r w:rsidRPr="007C57DF">
        <w:rPr>
          <w:rFonts w:ascii="思源黑体" w:eastAsia="思源黑体" w:hAnsi="Arial" w:cs="Arial" w:hint="eastAsia"/>
          <w:kern w:val="0"/>
          <w:szCs w:val="21"/>
          <w:lang w:eastAsia="zh-Hans"/>
        </w:rPr>
        <w:t>第九条 我行有权对认定的套现、伪造非真实交易赚取的积分进行扣减。</w:t>
      </w:r>
    </w:p>
    <w:p w:rsidR="007C57DF" w:rsidRPr="007C57DF" w:rsidRDefault="007C57DF" w:rsidP="007C57DF">
      <w:pPr>
        <w:widowControl/>
        <w:spacing w:beforeAutospacing="1" w:afterAutospacing="1"/>
        <w:outlineLvl w:val="1"/>
        <w:rPr>
          <w:rFonts w:ascii="思源黑体" w:eastAsia="思源黑体" w:hAnsi="Arial" w:cs="Arial" w:hint="eastAsia"/>
          <w:kern w:val="0"/>
          <w:szCs w:val="21"/>
          <w:lang w:eastAsia="zh-Hans"/>
        </w:rPr>
      </w:pPr>
      <w:r w:rsidRPr="007C57DF">
        <w:rPr>
          <w:rFonts w:ascii="思源黑体" w:eastAsia="思源黑体" w:hAnsi="Arial" w:cs="Arial" w:hint="eastAsia"/>
          <w:kern w:val="0"/>
          <w:szCs w:val="21"/>
          <w:lang w:eastAsia="zh-Hans"/>
        </w:rPr>
        <w:t>第十条 我行可根据中国银联对商户扣率的标准规则，随时对积分计分方式进行调整。</w:t>
      </w:r>
    </w:p>
    <w:p w:rsidR="00CA2159" w:rsidRPr="007C57DF" w:rsidRDefault="00CA2159"/>
    <w:sectPr w:rsidR="00CA2159" w:rsidRPr="007C57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思源黑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DF"/>
    <w:rsid w:val="007C57DF"/>
    <w:rsid w:val="00A8244D"/>
    <w:rsid w:val="00CA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C57D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C57DF"/>
    <w:rPr>
      <w:rFonts w:ascii="宋体" w:eastAsia="宋体" w:hAnsi="宋体" w:cs="宋体"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C57D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C57DF"/>
    <w:rPr>
      <w:rFonts w:ascii="宋体" w:eastAsia="宋体" w:hAnsi="宋体" w:cs="宋体"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3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99564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902</Characters>
  <Application>Microsoft Office Word</Application>
  <DocSecurity>0</DocSecurity>
  <Lines>7</Lines>
  <Paragraphs>2</Paragraphs>
  <ScaleCrop>false</ScaleCrop>
  <Company>TRCBANK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2021-01-20T06:25:00Z</dcterms:created>
  <dcterms:modified xsi:type="dcterms:W3CDTF">2021-01-20T06:28:00Z</dcterms:modified>
</cp:coreProperties>
</file>